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90" w:rsidRDefault="009A4690" w:rsidP="00D647CE">
      <w:pPr>
        <w:spacing w:line="360" w:lineRule="auto"/>
        <w:ind w:right="1134"/>
        <w:rPr>
          <w:rFonts w:ascii="Arial" w:hAnsi="Arial" w:cs="Arial"/>
          <w:b/>
          <w:sz w:val="36"/>
          <w:szCs w:val="36"/>
        </w:rPr>
      </w:pPr>
      <w:r>
        <w:rPr>
          <w:rFonts w:ascii="Arial" w:hAnsi="Arial" w:cs="Arial"/>
          <w:b/>
          <w:sz w:val="36"/>
          <w:szCs w:val="36"/>
        </w:rPr>
        <w:t>Nassauische Heimstätte kauft</w:t>
      </w:r>
    </w:p>
    <w:p w:rsidR="00343698" w:rsidRPr="0003228E" w:rsidRDefault="009A4690" w:rsidP="00D647CE">
      <w:pPr>
        <w:spacing w:line="360" w:lineRule="auto"/>
        <w:ind w:right="1134"/>
        <w:rPr>
          <w:rFonts w:ascii="Arial" w:hAnsi="Arial" w:cs="Arial"/>
          <w:b/>
          <w:color w:val="000000"/>
          <w:sz w:val="36"/>
          <w:szCs w:val="36"/>
        </w:rPr>
      </w:pPr>
      <w:r>
        <w:rPr>
          <w:rFonts w:ascii="Arial" w:hAnsi="Arial" w:cs="Arial"/>
          <w:b/>
          <w:sz w:val="36"/>
          <w:szCs w:val="36"/>
        </w:rPr>
        <w:t>205 Wohnungen in Offenbach</w:t>
      </w:r>
    </w:p>
    <w:p w:rsidR="0003228E" w:rsidRDefault="0003228E" w:rsidP="006F209C">
      <w:pPr>
        <w:spacing w:line="360" w:lineRule="auto"/>
        <w:ind w:right="1134"/>
        <w:jc w:val="both"/>
        <w:rPr>
          <w:rFonts w:ascii="Arial" w:hAnsi="Arial" w:cs="Arial"/>
          <w:b/>
          <w:color w:val="000000"/>
          <w:sz w:val="24"/>
          <w:szCs w:val="24"/>
        </w:rPr>
      </w:pPr>
    </w:p>
    <w:p w:rsidR="001D38AD" w:rsidRPr="001D38AD" w:rsidRDefault="009A4690" w:rsidP="005C3923">
      <w:pPr>
        <w:tabs>
          <w:tab w:val="left" w:pos="1275"/>
        </w:tabs>
        <w:spacing w:line="360" w:lineRule="auto"/>
        <w:ind w:right="1134"/>
        <w:jc w:val="both"/>
        <w:rPr>
          <w:rFonts w:ascii="Arial" w:hAnsi="Arial" w:cs="Arial"/>
          <w:b/>
        </w:rPr>
      </w:pPr>
      <w:r>
        <w:rPr>
          <w:rFonts w:ascii="Arial" w:hAnsi="Arial" w:cs="Arial"/>
          <w:b/>
        </w:rPr>
        <w:t xml:space="preserve">Schlüsselfertiger Erwerb im Stadtteil </w:t>
      </w:r>
      <w:r w:rsidR="008A0D31">
        <w:rPr>
          <w:rFonts w:ascii="Arial" w:hAnsi="Arial" w:cs="Arial"/>
          <w:b/>
        </w:rPr>
        <w:t>Kaiserlei</w:t>
      </w:r>
      <w:r>
        <w:rPr>
          <w:rFonts w:ascii="Arial" w:hAnsi="Arial" w:cs="Arial"/>
          <w:b/>
        </w:rPr>
        <w:t xml:space="preserve"> mit Berliner Consus </w:t>
      </w:r>
      <w:r w:rsidR="002C260F">
        <w:rPr>
          <w:rFonts w:ascii="Arial" w:hAnsi="Arial" w:cs="Arial"/>
          <w:b/>
        </w:rPr>
        <w:t xml:space="preserve">Real Estate </w:t>
      </w:r>
      <w:r>
        <w:rPr>
          <w:rFonts w:ascii="Arial" w:hAnsi="Arial" w:cs="Arial"/>
          <w:b/>
        </w:rPr>
        <w:t>AG ist be</w:t>
      </w:r>
      <w:r w:rsidR="002C260F">
        <w:rPr>
          <w:rFonts w:ascii="Arial" w:hAnsi="Arial" w:cs="Arial"/>
          <w:b/>
        </w:rPr>
        <w:t>urkundet</w:t>
      </w:r>
      <w:r w:rsidR="00650359">
        <w:rPr>
          <w:rFonts w:ascii="Arial" w:hAnsi="Arial" w:cs="Arial"/>
          <w:b/>
        </w:rPr>
        <w:t xml:space="preserve"> / Wohnungsmix</w:t>
      </w:r>
      <w:r>
        <w:rPr>
          <w:rFonts w:ascii="Arial" w:hAnsi="Arial" w:cs="Arial"/>
          <w:b/>
        </w:rPr>
        <w:t xml:space="preserve"> soll breite </w:t>
      </w:r>
      <w:r w:rsidR="00650359">
        <w:rPr>
          <w:rFonts w:ascii="Arial" w:hAnsi="Arial" w:cs="Arial"/>
          <w:b/>
        </w:rPr>
        <w:t>Mieters</w:t>
      </w:r>
      <w:r>
        <w:rPr>
          <w:rFonts w:ascii="Arial" w:hAnsi="Arial" w:cs="Arial"/>
          <w:b/>
        </w:rPr>
        <w:t>chicht ansprechen</w:t>
      </w:r>
    </w:p>
    <w:p w:rsidR="001D38AD" w:rsidRPr="004C31F9" w:rsidRDefault="001D38AD" w:rsidP="005C3923">
      <w:pPr>
        <w:tabs>
          <w:tab w:val="left" w:pos="1275"/>
        </w:tabs>
        <w:spacing w:line="360" w:lineRule="auto"/>
        <w:ind w:right="1134"/>
        <w:rPr>
          <w:rFonts w:ascii="Arial" w:hAnsi="Arial" w:cs="Arial"/>
          <w:sz w:val="24"/>
          <w:szCs w:val="24"/>
        </w:rPr>
      </w:pPr>
    </w:p>
    <w:p w:rsidR="00BA33B8" w:rsidRDefault="005A07D0" w:rsidP="005C3923">
      <w:pPr>
        <w:spacing w:line="360" w:lineRule="auto"/>
        <w:ind w:right="1134"/>
        <w:jc w:val="both"/>
        <w:rPr>
          <w:rFonts w:ascii="Arial" w:hAnsi="Arial" w:cs="Arial"/>
        </w:rPr>
      </w:pPr>
      <w:r w:rsidRPr="009A25B6">
        <w:rPr>
          <w:rFonts w:ascii="Arial" w:hAnsi="Arial" w:cs="Arial"/>
          <w:u w:val="single"/>
        </w:rPr>
        <w:t>Offenbach</w:t>
      </w:r>
      <w:r w:rsidR="001D38AD" w:rsidRPr="009A25B6">
        <w:rPr>
          <w:rFonts w:ascii="Arial" w:hAnsi="Arial" w:cs="Arial"/>
        </w:rPr>
        <w:t xml:space="preserve"> – </w:t>
      </w:r>
      <w:r w:rsidRPr="009A25B6">
        <w:rPr>
          <w:rFonts w:ascii="Arial" w:hAnsi="Arial" w:cs="Arial"/>
        </w:rPr>
        <w:t xml:space="preserve">Die Unternehmensgruppe Nassauische Heimstätte | Wohnstadt hat mit der Berliner </w:t>
      </w:r>
      <w:r w:rsidR="009A25B6" w:rsidRPr="009A25B6">
        <w:rPr>
          <w:rFonts w:ascii="Arial" w:hAnsi="Arial" w:cs="Arial"/>
        </w:rPr>
        <w:t>Consus Real Estate AG über ihre Tochter CG Gruppe</w:t>
      </w:r>
      <w:r w:rsidR="002C260F">
        <w:rPr>
          <w:rFonts w:ascii="Arial" w:hAnsi="Arial" w:cs="Arial"/>
        </w:rPr>
        <w:t xml:space="preserve"> AG</w:t>
      </w:r>
      <w:r w:rsidR="009A25B6">
        <w:rPr>
          <w:rFonts w:ascii="Arial" w:hAnsi="Arial" w:cs="Arial"/>
        </w:rPr>
        <w:t xml:space="preserve"> </w:t>
      </w:r>
      <w:r w:rsidRPr="009A25B6">
        <w:rPr>
          <w:rFonts w:ascii="Arial" w:hAnsi="Arial" w:cs="Arial"/>
        </w:rPr>
        <w:t>den Kaufvertrag für den schlüsselfertigen Erwerb von 205 Wohnungen in Offenbach</w:t>
      </w:r>
      <w:r w:rsidR="00334447">
        <w:rPr>
          <w:rFonts w:ascii="Arial" w:hAnsi="Arial" w:cs="Arial"/>
        </w:rPr>
        <w:t>-Kaiserlei</w:t>
      </w:r>
      <w:r w:rsidRPr="009A25B6">
        <w:rPr>
          <w:rFonts w:ascii="Arial" w:hAnsi="Arial" w:cs="Arial"/>
        </w:rPr>
        <w:t xml:space="preserve"> abgeschlossen. Die Wohnungen </w:t>
      </w:r>
      <w:r w:rsidR="00310ACE" w:rsidRPr="009A25B6">
        <w:rPr>
          <w:rFonts w:ascii="Arial" w:hAnsi="Arial" w:cs="Arial"/>
        </w:rPr>
        <w:t xml:space="preserve">– davon voraussichtlich 34 gefördert – </w:t>
      </w:r>
      <w:r w:rsidRPr="009A25B6">
        <w:rPr>
          <w:rFonts w:ascii="Arial" w:hAnsi="Arial" w:cs="Arial"/>
        </w:rPr>
        <w:t xml:space="preserve">werden </w:t>
      </w:r>
      <w:r w:rsidR="00D14F86">
        <w:rPr>
          <w:rFonts w:ascii="Arial" w:hAnsi="Arial" w:cs="Arial"/>
        </w:rPr>
        <w:t xml:space="preserve">am </w:t>
      </w:r>
      <w:r w:rsidR="00823255" w:rsidRPr="009A25B6">
        <w:rPr>
          <w:rFonts w:ascii="Arial" w:hAnsi="Arial" w:cs="Arial"/>
        </w:rPr>
        <w:t xml:space="preserve">Goethering </w:t>
      </w:r>
      <w:r w:rsidRPr="009A25B6">
        <w:rPr>
          <w:rFonts w:ascii="Arial" w:hAnsi="Arial" w:cs="Arial"/>
        </w:rPr>
        <w:t xml:space="preserve">in unmittelbarer Nachbarschaft des von der Nassauischen Heimstätte 2016 erworbenen Goethequartiers </w:t>
      </w:r>
      <w:r w:rsidR="00823255">
        <w:rPr>
          <w:rFonts w:ascii="Arial" w:hAnsi="Arial" w:cs="Arial"/>
        </w:rPr>
        <w:t>sowie unweit des vor ku</w:t>
      </w:r>
      <w:r w:rsidR="00F819AB">
        <w:rPr>
          <w:rFonts w:ascii="Arial" w:hAnsi="Arial" w:cs="Arial"/>
        </w:rPr>
        <w:t>rzem fertiggestellten Projekts heimathafen</w:t>
      </w:r>
      <w:r w:rsidR="00823255">
        <w:rPr>
          <w:rFonts w:ascii="Arial" w:hAnsi="Arial" w:cs="Arial"/>
        </w:rPr>
        <w:t xml:space="preserve"> </w:t>
      </w:r>
      <w:r w:rsidRPr="009A25B6">
        <w:rPr>
          <w:rFonts w:ascii="Arial" w:hAnsi="Arial" w:cs="Arial"/>
        </w:rPr>
        <w:t xml:space="preserve">errichtet. Neben ca. 14.400 </w:t>
      </w:r>
      <w:r w:rsidR="009A25B6">
        <w:rPr>
          <w:rFonts w:ascii="Arial" w:hAnsi="Arial" w:cs="Arial"/>
        </w:rPr>
        <w:t>q</w:t>
      </w:r>
      <w:r w:rsidRPr="009A25B6">
        <w:rPr>
          <w:rFonts w:ascii="Arial" w:hAnsi="Arial" w:cs="Arial"/>
        </w:rPr>
        <w:t>m Gesamtwohnfläche und 340 qm Gewerbefläche ent</w:t>
      </w:r>
      <w:r w:rsidR="009A25B6">
        <w:rPr>
          <w:rFonts w:ascii="Arial" w:hAnsi="Arial" w:cs="Arial"/>
        </w:rPr>
        <w:t>s</w:t>
      </w:r>
      <w:r w:rsidRPr="009A25B6">
        <w:rPr>
          <w:rFonts w:ascii="Arial" w:hAnsi="Arial" w:cs="Arial"/>
        </w:rPr>
        <w:t xml:space="preserve">tehen </w:t>
      </w:r>
      <w:r w:rsidR="005C3923">
        <w:rPr>
          <w:rFonts w:ascii="Arial" w:hAnsi="Arial" w:cs="Arial"/>
        </w:rPr>
        <w:t xml:space="preserve">auch </w:t>
      </w:r>
      <w:r w:rsidRPr="009A25B6">
        <w:rPr>
          <w:rFonts w:ascii="Arial" w:hAnsi="Arial" w:cs="Arial"/>
        </w:rPr>
        <w:t xml:space="preserve">rund 110 Tiefgaragenstellplätze. Die Gesamtinvestition </w:t>
      </w:r>
      <w:r w:rsidR="005C3923">
        <w:rPr>
          <w:rFonts w:ascii="Arial" w:hAnsi="Arial" w:cs="Arial"/>
        </w:rPr>
        <w:t>beträgt</w:t>
      </w:r>
      <w:r w:rsidRPr="009A25B6">
        <w:rPr>
          <w:rFonts w:ascii="Arial" w:hAnsi="Arial" w:cs="Arial"/>
        </w:rPr>
        <w:t xml:space="preserve"> ca. 7</w:t>
      </w:r>
      <w:r w:rsidR="002C260F">
        <w:rPr>
          <w:rFonts w:ascii="Arial" w:hAnsi="Arial" w:cs="Arial"/>
        </w:rPr>
        <w:t>1,</w:t>
      </w:r>
      <w:r w:rsidRPr="009A25B6">
        <w:rPr>
          <w:rFonts w:ascii="Arial" w:hAnsi="Arial" w:cs="Arial"/>
        </w:rPr>
        <w:t>2 Mi</w:t>
      </w:r>
      <w:r w:rsidR="009A25B6">
        <w:rPr>
          <w:rFonts w:ascii="Arial" w:hAnsi="Arial" w:cs="Arial"/>
        </w:rPr>
        <w:t>llionen</w:t>
      </w:r>
      <w:r w:rsidR="00FB6732">
        <w:rPr>
          <w:rFonts w:ascii="Arial" w:hAnsi="Arial" w:cs="Arial"/>
        </w:rPr>
        <w:t xml:space="preserve"> Euro</w:t>
      </w:r>
      <w:r w:rsidR="00FB6732" w:rsidRPr="00FB6732">
        <w:rPr>
          <w:rFonts w:ascii="Arial" w:hAnsi="Arial" w:cs="Arial"/>
        </w:rPr>
        <w:t>.</w:t>
      </w:r>
      <w:r w:rsidR="00D4443D">
        <w:rPr>
          <w:rFonts w:ascii="Arial" w:hAnsi="Arial" w:cs="Arial"/>
        </w:rPr>
        <w:t xml:space="preserve"> „Die Nachfrage nach bezahlbarem Wohn</w:t>
      </w:r>
      <w:r w:rsidR="00F819AB">
        <w:rPr>
          <w:rFonts w:ascii="Arial" w:hAnsi="Arial" w:cs="Arial"/>
        </w:rPr>
        <w:t xml:space="preserve">- </w:t>
      </w:r>
      <w:r w:rsidR="00D4443D">
        <w:rPr>
          <w:rFonts w:ascii="Arial" w:hAnsi="Arial" w:cs="Arial"/>
        </w:rPr>
        <w:t>und Gewerbeflächen ist in Offenbach vor allem im Stadtteil Ka</w:t>
      </w:r>
      <w:r w:rsidR="002C260F">
        <w:rPr>
          <w:rFonts w:ascii="Arial" w:hAnsi="Arial" w:cs="Arial"/>
        </w:rPr>
        <w:t>iserlei ungebrochen hoch“, sagt</w:t>
      </w:r>
      <w:r w:rsidR="00D4443D">
        <w:rPr>
          <w:rFonts w:ascii="Arial" w:hAnsi="Arial" w:cs="Arial"/>
        </w:rPr>
        <w:t xml:space="preserve"> der für Immobilien</w:t>
      </w:r>
      <w:r w:rsidR="00F31E73">
        <w:rPr>
          <w:rFonts w:ascii="Arial" w:hAnsi="Arial" w:cs="Arial"/>
        </w:rPr>
        <w:t>management</w:t>
      </w:r>
      <w:r w:rsidR="00D4443D">
        <w:rPr>
          <w:rFonts w:ascii="Arial" w:hAnsi="Arial" w:cs="Arial"/>
        </w:rPr>
        <w:t xml:space="preserve"> </w:t>
      </w:r>
      <w:r w:rsidR="002C260F">
        <w:rPr>
          <w:rFonts w:ascii="Arial" w:hAnsi="Arial" w:cs="Arial"/>
        </w:rPr>
        <w:t xml:space="preserve">und Akquisition </w:t>
      </w:r>
      <w:r w:rsidR="00D4443D">
        <w:rPr>
          <w:rFonts w:ascii="Arial" w:hAnsi="Arial" w:cs="Arial"/>
        </w:rPr>
        <w:t xml:space="preserve">zuständige Geschäftsführer Dr. Constantin Westphal. </w:t>
      </w:r>
      <w:r w:rsidR="005C3923">
        <w:rPr>
          <w:rFonts w:ascii="Arial" w:hAnsi="Arial" w:cs="Arial"/>
        </w:rPr>
        <w:t>„Wir f</w:t>
      </w:r>
      <w:r w:rsidR="00F819AB">
        <w:rPr>
          <w:rFonts w:ascii="Arial" w:hAnsi="Arial" w:cs="Arial"/>
        </w:rPr>
        <w:t>reuen uns, zusammen mit einem so erfahrenen Partner wie der CG</w:t>
      </w:r>
      <w:r w:rsidR="002C260F">
        <w:rPr>
          <w:rFonts w:ascii="Arial" w:hAnsi="Arial" w:cs="Arial"/>
        </w:rPr>
        <w:t xml:space="preserve"> </w:t>
      </w:r>
      <w:r w:rsidR="00F819AB">
        <w:rPr>
          <w:rFonts w:ascii="Arial" w:hAnsi="Arial" w:cs="Arial"/>
        </w:rPr>
        <w:t xml:space="preserve">Gruppe </w:t>
      </w:r>
      <w:r w:rsidR="002C260F">
        <w:rPr>
          <w:rFonts w:ascii="Arial" w:hAnsi="Arial" w:cs="Arial"/>
        </w:rPr>
        <w:t xml:space="preserve">AG </w:t>
      </w:r>
      <w:r w:rsidR="00F819AB">
        <w:rPr>
          <w:rFonts w:ascii="Arial" w:hAnsi="Arial" w:cs="Arial"/>
        </w:rPr>
        <w:t>zur weiteren Aufwertung des Quartiers beitragen zu können. Unserem Ziel, in den nächsten Jahren fast 5</w:t>
      </w:r>
      <w:r w:rsidR="002C260F">
        <w:rPr>
          <w:rFonts w:ascii="Arial" w:hAnsi="Arial" w:cs="Arial"/>
        </w:rPr>
        <w:t>.</w:t>
      </w:r>
      <w:r w:rsidR="00F819AB">
        <w:rPr>
          <w:rFonts w:ascii="Arial" w:hAnsi="Arial" w:cs="Arial"/>
        </w:rPr>
        <w:t>0</w:t>
      </w:r>
      <w:r w:rsidR="008A0D31">
        <w:rPr>
          <w:rFonts w:ascii="Arial" w:hAnsi="Arial" w:cs="Arial"/>
        </w:rPr>
        <w:t>0</w:t>
      </w:r>
      <w:r w:rsidR="00F819AB">
        <w:rPr>
          <w:rFonts w:ascii="Arial" w:hAnsi="Arial" w:cs="Arial"/>
        </w:rPr>
        <w:t>0 Wohnungen zu bauen, kommen wir damit ein großes Stück näher.“</w:t>
      </w:r>
      <w:r w:rsidR="00650359">
        <w:rPr>
          <w:rFonts w:ascii="Arial" w:hAnsi="Arial" w:cs="Arial"/>
        </w:rPr>
        <w:t xml:space="preserve"> Offenbachs Oberbürgermeister Felix Schwenke begrüßt das Engagement von Hessens größtem Wohnungsunternehmen. „Es ist ein positives Signal für unsere Stadt, </w:t>
      </w:r>
      <w:r w:rsidR="00650359">
        <w:rPr>
          <w:rFonts w:ascii="Arial" w:hAnsi="Arial" w:cs="Arial"/>
        </w:rPr>
        <w:lastRenderedPageBreak/>
        <w:t xml:space="preserve">dass ein </w:t>
      </w:r>
      <w:r w:rsidR="005C3923">
        <w:rPr>
          <w:rFonts w:ascii="Arial" w:hAnsi="Arial" w:cs="Arial"/>
        </w:rPr>
        <w:t>seriöses Unternehmen</w:t>
      </w:r>
      <w:r w:rsidR="00650359">
        <w:rPr>
          <w:rFonts w:ascii="Arial" w:hAnsi="Arial" w:cs="Arial"/>
        </w:rPr>
        <w:t xml:space="preserve"> wie die Nassauische Heimstätte mit diesem Projekt </w:t>
      </w:r>
      <w:r w:rsidR="00361149">
        <w:rPr>
          <w:rFonts w:ascii="Arial" w:hAnsi="Arial" w:cs="Arial"/>
        </w:rPr>
        <w:t xml:space="preserve">weiter </w:t>
      </w:r>
      <w:r w:rsidR="00650359">
        <w:rPr>
          <w:rFonts w:ascii="Arial" w:hAnsi="Arial" w:cs="Arial"/>
        </w:rPr>
        <w:t>dazu beiträgt, die Wohnungsknappheit in den Griff zu bekommen.“</w:t>
      </w:r>
    </w:p>
    <w:p w:rsidR="00F819AB" w:rsidRPr="00BA33B8" w:rsidRDefault="00F819AB" w:rsidP="005C3923">
      <w:pPr>
        <w:spacing w:line="360" w:lineRule="auto"/>
        <w:ind w:right="1134"/>
        <w:jc w:val="both"/>
        <w:rPr>
          <w:rFonts w:ascii="Arial" w:hAnsi="Arial" w:cs="Arial"/>
        </w:rPr>
      </w:pPr>
    </w:p>
    <w:p w:rsidR="00FB6732" w:rsidRDefault="00823255" w:rsidP="005C3923">
      <w:pPr>
        <w:tabs>
          <w:tab w:val="num" w:pos="1440"/>
        </w:tabs>
        <w:spacing w:line="360" w:lineRule="auto"/>
        <w:ind w:right="1134"/>
        <w:jc w:val="both"/>
        <w:rPr>
          <w:rFonts w:ascii="Arial" w:hAnsi="Arial" w:cs="Arial"/>
        </w:rPr>
      </w:pPr>
      <w:r w:rsidRPr="00823255">
        <w:rPr>
          <w:rFonts w:ascii="Arial" w:hAnsi="Arial" w:cs="Arial"/>
        </w:rPr>
        <w:t>D</w:t>
      </w:r>
      <w:r w:rsidR="002C260F">
        <w:rPr>
          <w:rFonts w:ascii="Arial" w:hAnsi="Arial" w:cs="Arial"/>
        </w:rPr>
        <w:t xml:space="preserve">ie CG </w:t>
      </w:r>
      <w:r>
        <w:rPr>
          <w:rFonts w:ascii="Arial" w:hAnsi="Arial" w:cs="Arial"/>
        </w:rPr>
        <w:t>Gruppe</w:t>
      </w:r>
      <w:r w:rsidR="002C260F">
        <w:rPr>
          <w:rFonts w:ascii="Arial" w:hAnsi="Arial" w:cs="Arial"/>
        </w:rPr>
        <w:t xml:space="preserve"> AG</w:t>
      </w:r>
      <w:r w:rsidRPr="00823255">
        <w:rPr>
          <w:rFonts w:ascii="Arial" w:hAnsi="Arial" w:cs="Arial"/>
        </w:rPr>
        <w:t xml:space="preserve"> </w:t>
      </w:r>
      <w:r>
        <w:rPr>
          <w:rFonts w:ascii="Arial" w:hAnsi="Arial" w:cs="Arial"/>
        </w:rPr>
        <w:t xml:space="preserve">entwickelt auf einer Grundstücksfläche von ca. 36.500 qm </w:t>
      </w:r>
      <w:r w:rsidR="00FB6732">
        <w:rPr>
          <w:rFonts w:ascii="Arial" w:hAnsi="Arial" w:cs="Arial"/>
        </w:rPr>
        <w:t>das</w:t>
      </w:r>
      <w:r>
        <w:rPr>
          <w:rFonts w:ascii="Arial" w:hAnsi="Arial" w:cs="Arial"/>
        </w:rPr>
        <w:t xml:space="preserve"> </w:t>
      </w:r>
      <w:r w:rsidR="00FB6732">
        <w:rPr>
          <w:rFonts w:ascii="Arial" w:hAnsi="Arial" w:cs="Arial"/>
        </w:rPr>
        <w:t xml:space="preserve">neue </w:t>
      </w:r>
      <w:r>
        <w:rPr>
          <w:rFonts w:ascii="Arial" w:hAnsi="Arial" w:cs="Arial"/>
        </w:rPr>
        <w:t xml:space="preserve">urbane Quartier </w:t>
      </w:r>
      <w:r w:rsidR="00FB6732">
        <w:rPr>
          <w:rFonts w:ascii="Arial" w:hAnsi="Arial" w:cs="Arial"/>
        </w:rPr>
        <w:t xml:space="preserve">VITOPIA Kampus Kaiserlei. </w:t>
      </w:r>
      <w:r w:rsidR="003A1A16">
        <w:rPr>
          <w:rFonts w:ascii="Arial" w:hAnsi="Arial" w:cs="Arial"/>
        </w:rPr>
        <w:t>U</w:t>
      </w:r>
      <w:r w:rsidR="00FB6732">
        <w:rPr>
          <w:rFonts w:ascii="Arial" w:hAnsi="Arial" w:cs="Arial"/>
        </w:rPr>
        <w:t xml:space="preserve">nter anderem </w:t>
      </w:r>
      <w:r w:rsidR="003A1A16">
        <w:rPr>
          <w:rFonts w:ascii="Arial" w:hAnsi="Arial" w:cs="Arial"/>
        </w:rPr>
        <w:t xml:space="preserve">werden </w:t>
      </w:r>
      <w:r w:rsidR="00FB6732">
        <w:rPr>
          <w:rFonts w:ascii="Arial" w:hAnsi="Arial" w:cs="Arial"/>
        </w:rPr>
        <w:t>die 19- und 22-</w:t>
      </w:r>
      <w:r w:rsidR="00FB6732" w:rsidRPr="00FB6732">
        <w:rPr>
          <w:rFonts w:ascii="Arial" w:hAnsi="Arial" w:cs="Arial"/>
        </w:rPr>
        <w:t xml:space="preserve">geschossigen ehemaligen Bürogebäude entkernt </w:t>
      </w:r>
      <w:r w:rsidR="00FB6732">
        <w:rPr>
          <w:rFonts w:ascii="Arial" w:hAnsi="Arial" w:cs="Arial"/>
        </w:rPr>
        <w:t xml:space="preserve">und </w:t>
      </w:r>
      <w:r w:rsidR="00F819AB">
        <w:rPr>
          <w:rFonts w:ascii="Arial" w:hAnsi="Arial" w:cs="Arial"/>
        </w:rPr>
        <w:t>nach dem Vertical-</w:t>
      </w:r>
      <w:r w:rsidR="00FB6732">
        <w:rPr>
          <w:rFonts w:ascii="Arial" w:hAnsi="Arial" w:cs="Arial"/>
        </w:rPr>
        <w:t>Village-</w:t>
      </w:r>
      <w:r w:rsidR="00FB6732" w:rsidRPr="00FB6732">
        <w:rPr>
          <w:rFonts w:ascii="Arial" w:hAnsi="Arial" w:cs="Arial"/>
        </w:rPr>
        <w:t>Konzept der CG Gruppe</w:t>
      </w:r>
      <w:r w:rsidR="002C260F">
        <w:rPr>
          <w:rFonts w:ascii="Arial" w:hAnsi="Arial" w:cs="Arial"/>
        </w:rPr>
        <w:t xml:space="preserve"> AG zu Apartmenthäusern umgebaut.</w:t>
      </w:r>
      <w:r w:rsidR="00650359">
        <w:rPr>
          <w:rFonts w:ascii="Arial" w:hAnsi="Arial" w:cs="Arial"/>
        </w:rPr>
        <w:t xml:space="preserve"> </w:t>
      </w:r>
      <w:r w:rsidR="00FB6732" w:rsidRPr="00823255">
        <w:rPr>
          <w:rFonts w:ascii="Arial" w:hAnsi="Arial" w:cs="Arial"/>
        </w:rPr>
        <w:t>Andreas Steyer, CEO der Consus Real Estate AG</w:t>
      </w:r>
      <w:r w:rsidR="00C747F9">
        <w:rPr>
          <w:rFonts w:ascii="Arial" w:hAnsi="Arial" w:cs="Arial"/>
        </w:rPr>
        <w:t>,</w:t>
      </w:r>
      <w:r w:rsidR="00FB6732" w:rsidRPr="00823255">
        <w:rPr>
          <w:rFonts w:ascii="Arial" w:hAnsi="Arial" w:cs="Arial"/>
        </w:rPr>
        <w:t xml:space="preserve"> betont: „Wir freuen uns, dass wir die einmalige Möglichkeit haben, das Kaiserlei-Quartier in Offenbach mit unseren Bauwerken als signifikantes Tor zu Frankfurt zu gestalten. Zusammen mit unserer Tochter CG Gruppe </w:t>
      </w:r>
      <w:r w:rsidR="002C260F">
        <w:rPr>
          <w:rFonts w:ascii="Arial" w:hAnsi="Arial" w:cs="Arial"/>
        </w:rPr>
        <w:t xml:space="preserve">AG </w:t>
      </w:r>
      <w:r w:rsidR="00FB6732" w:rsidRPr="00823255">
        <w:rPr>
          <w:rFonts w:ascii="Arial" w:hAnsi="Arial" w:cs="Arial"/>
        </w:rPr>
        <w:t>arbeiten wir hier und in anderen Ballungszentren Deutschlands an einer neuen Dimension des Bauens.“</w:t>
      </w:r>
    </w:p>
    <w:p w:rsidR="00BA33B8" w:rsidRDefault="00BA33B8" w:rsidP="005C3923">
      <w:pPr>
        <w:spacing w:line="360" w:lineRule="auto"/>
        <w:ind w:right="1134"/>
        <w:jc w:val="both"/>
        <w:rPr>
          <w:rFonts w:ascii="Arial" w:hAnsi="Arial" w:cs="Arial"/>
        </w:rPr>
      </w:pPr>
    </w:p>
    <w:p w:rsidR="00BA33B8" w:rsidRPr="00BA33B8" w:rsidRDefault="00BA33B8" w:rsidP="005C3923">
      <w:pPr>
        <w:spacing w:line="360" w:lineRule="auto"/>
        <w:ind w:right="1134"/>
        <w:jc w:val="both"/>
        <w:rPr>
          <w:rFonts w:ascii="Arial" w:hAnsi="Arial" w:cs="Arial"/>
        </w:rPr>
      </w:pPr>
      <w:r w:rsidRPr="00BA33B8">
        <w:rPr>
          <w:rFonts w:ascii="Arial" w:hAnsi="Arial" w:cs="Arial"/>
        </w:rPr>
        <w:t xml:space="preserve">Die sechs- bis siebengeschossigen Wohngebäude </w:t>
      </w:r>
      <w:r>
        <w:rPr>
          <w:rFonts w:ascii="Arial" w:hAnsi="Arial" w:cs="Arial"/>
        </w:rPr>
        <w:t xml:space="preserve">der Nassauischen Heimstätte werden </w:t>
      </w:r>
      <w:r w:rsidRPr="00BA33B8">
        <w:rPr>
          <w:rFonts w:ascii="Arial" w:hAnsi="Arial" w:cs="Arial"/>
        </w:rPr>
        <w:t>als Blockrand</w:t>
      </w:r>
      <w:r>
        <w:rPr>
          <w:rFonts w:ascii="Arial" w:hAnsi="Arial" w:cs="Arial"/>
        </w:rPr>
        <w:t>bebauung zur Berliner Straße</w:t>
      </w:r>
      <w:r w:rsidRPr="00BA33B8">
        <w:rPr>
          <w:rFonts w:ascii="Arial" w:hAnsi="Arial" w:cs="Arial"/>
        </w:rPr>
        <w:t xml:space="preserve"> und zum Goethering</w:t>
      </w:r>
      <w:r>
        <w:rPr>
          <w:rFonts w:ascii="Arial" w:hAnsi="Arial" w:cs="Arial"/>
        </w:rPr>
        <w:t xml:space="preserve"> errichtet und</w:t>
      </w:r>
      <w:r w:rsidRPr="00BA33B8">
        <w:rPr>
          <w:rFonts w:ascii="Arial" w:hAnsi="Arial" w:cs="Arial"/>
        </w:rPr>
        <w:t xml:space="preserve"> bilden zum Innenbereich </w:t>
      </w:r>
      <w:r w:rsidR="00D14F86">
        <w:rPr>
          <w:rFonts w:ascii="Arial" w:hAnsi="Arial" w:cs="Arial"/>
        </w:rPr>
        <w:t xml:space="preserve">hin </w:t>
      </w:r>
      <w:r w:rsidRPr="00BA33B8">
        <w:rPr>
          <w:rFonts w:ascii="Arial" w:hAnsi="Arial" w:cs="Arial"/>
        </w:rPr>
        <w:t>grüne Wohnhöfe aus. Die anspruchsvolle Architektur und ein attraktiver Flächenmix sollen eine möglichst breite Schicht von Mietern anspr</w:t>
      </w:r>
      <w:r w:rsidR="00D14F86">
        <w:rPr>
          <w:rFonts w:ascii="Arial" w:hAnsi="Arial" w:cs="Arial"/>
        </w:rPr>
        <w:t xml:space="preserve">echen. </w:t>
      </w:r>
      <w:r w:rsidR="00F819AB">
        <w:rPr>
          <w:rFonts w:ascii="Arial" w:hAnsi="Arial" w:cs="Arial"/>
        </w:rPr>
        <w:t>N</w:t>
      </w:r>
      <w:r w:rsidR="00D14F86">
        <w:rPr>
          <w:rFonts w:ascii="Arial" w:hAnsi="Arial" w:cs="Arial"/>
        </w:rPr>
        <w:t>eben 1,5-</w:t>
      </w:r>
      <w:r w:rsidR="002C260F">
        <w:rPr>
          <w:rFonts w:ascii="Arial" w:hAnsi="Arial" w:cs="Arial"/>
        </w:rPr>
        <w:t xml:space="preserve"> </w:t>
      </w:r>
      <w:r w:rsidR="00D14F86">
        <w:rPr>
          <w:rFonts w:ascii="Arial" w:hAnsi="Arial" w:cs="Arial"/>
        </w:rPr>
        <w:t>und Zwei</w:t>
      </w:r>
      <w:r w:rsidRPr="00BA33B8">
        <w:rPr>
          <w:rFonts w:ascii="Arial" w:hAnsi="Arial" w:cs="Arial"/>
        </w:rPr>
        <w:t xml:space="preserve">-Zimmerwohnungen </w:t>
      </w:r>
      <w:r w:rsidR="00F819AB">
        <w:rPr>
          <w:rFonts w:ascii="Arial" w:hAnsi="Arial" w:cs="Arial"/>
        </w:rPr>
        <w:t xml:space="preserve">werden </w:t>
      </w:r>
      <w:r w:rsidRPr="00BA33B8">
        <w:rPr>
          <w:rFonts w:ascii="Arial" w:hAnsi="Arial" w:cs="Arial"/>
        </w:rPr>
        <w:t xml:space="preserve">auch </w:t>
      </w:r>
      <w:r w:rsidR="00D14F86">
        <w:rPr>
          <w:rFonts w:ascii="Arial" w:hAnsi="Arial" w:cs="Arial"/>
        </w:rPr>
        <w:t>Drei-, Vier- und Fünf</w:t>
      </w:r>
      <w:r w:rsidRPr="00BA33B8">
        <w:rPr>
          <w:rFonts w:ascii="Arial" w:hAnsi="Arial" w:cs="Arial"/>
        </w:rPr>
        <w:t xml:space="preserve">-Zimmerwohnungen gebaut. </w:t>
      </w:r>
      <w:r w:rsidR="00D14F86">
        <w:rPr>
          <w:rFonts w:ascii="Arial" w:hAnsi="Arial" w:cs="Arial"/>
        </w:rPr>
        <w:t>Sie</w:t>
      </w:r>
      <w:r w:rsidR="00F819AB">
        <w:rPr>
          <w:rFonts w:ascii="Arial" w:hAnsi="Arial" w:cs="Arial"/>
        </w:rPr>
        <w:t xml:space="preserve"> </w:t>
      </w:r>
      <w:r w:rsidR="00D14F86">
        <w:rPr>
          <w:rFonts w:ascii="Arial" w:hAnsi="Arial" w:cs="Arial"/>
        </w:rPr>
        <w:t>werden</w:t>
      </w:r>
      <w:r w:rsidRPr="00BA33B8">
        <w:rPr>
          <w:rFonts w:ascii="Arial" w:hAnsi="Arial" w:cs="Arial"/>
        </w:rPr>
        <w:t xml:space="preserve"> über eine Geothermieanlage beheizt und gekühlt.</w:t>
      </w:r>
    </w:p>
    <w:p w:rsidR="00FB6732" w:rsidRDefault="00FB6732" w:rsidP="005C3923">
      <w:pPr>
        <w:tabs>
          <w:tab w:val="num" w:pos="1440"/>
        </w:tabs>
        <w:spacing w:line="360" w:lineRule="auto"/>
        <w:ind w:right="1134"/>
        <w:jc w:val="both"/>
        <w:rPr>
          <w:rFonts w:ascii="Arial" w:hAnsi="Arial" w:cs="Arial"/>
        </w:rPr>
      </w:pPr>
    </w:p>
    <w:p w:rsidR="00F819AB" w:rsidRDefault="00310ACE" w:rsidP="005C3923">
      <w:pPr>
        <w:tabs>
          <w:tab w:val="num" w:pos="1440"/>
        </w:tabs>
        <w:spacing w:line="360" w:lineRule="auto"/>
        <w:ind w:right="1134"/>
        <w:jc w:val="both"/>
        <w:rPr>
          <w:rFonts w:ascii="Arial" w:hAnsi="Arial" w:cs="Arial"/>
        </w:rPr>
      </w:pPr>
      <w:r>
        <w:rPr>
          <w:rFonts w:ascii="Arial" w:hAnsi="Arial" w:cs="Arial"/>
        </w:rPr>
        <w:t>I</w:t>
      </w:r>
      <w:r w:rsidR="00BA33B8">
        <w:rPr>
          <w:rFonts w:ascii="Arial" w:hAnsi="Arial" w:cs="Arial"/>
        </w:rPr>
        <w:t xml:space="preserve">n dem neuen Quartier </w:t>
      </w:r>
      <w:r>
        <w:rPr>
          <w:rFonts w:ascii="Arial" w:hAnsi="Arial" w:cs="Arial"/>
        </w:rPr>
        <w:t xml:space="preserve">entstehen </w:t>
      </w:r>
      <w:r w:rsidR="00BA33B8">
        <w:rPr>
          <w:rFonts w:ascii="Arial" w:hAnsi="Arial" w:cs="Arial"/>
        </w:rPr>
        <w:t>n</w:t>
      </w:r>
      <w:r w:rsidR="00FB6732" w:rsidRPr="00FB6732">
        <w:rPr>
          <w:rFonts w:ascii="Arial" w:hAnsi="Arial" w:cs="Arial"/>
        </w:rPr>
        <w:t xml:space="preserve">eben </w:t>
      </w:r>
      <w:r w:rsidR="00FB6732">
        <w:rPr>
          <w:rFonts w:ascii="Arial" w:hAnsi="Arial" w:cs="Arial"/>
        </w:rPr>
        <w:t>rund 835 Mietwoh</w:t>
      </w:r>
      <w:r w:rsidR="003A1A16">
        <w:rPr>
          <w:rFonts w:ascii="Arial" w:hAnsi="Arial" w:cs="Arial"/>
        </w:rPr>
        <w:t>n</w:t>
      </w:r>
      <w:r w:rsidR="00FB6732">
        <w:rPr>
          <w:rFonts w:ascii="Arial" w:hAnsi="Arial" w:cs="Arial"/>
        </w:rPr>
        <w:t>ungen</w:t>
      </w:r>
      <w:r w:rsidR="007F6402" w:rsidRPr="00823255">
        <w:rPr>
          <w:rFonts w:ascii="Arial" w:hAnsi="Arial" w:cs="Arial"/>
        </w:rPr>
        <w:t xml:space="preserve"> ein Hotel, ein Fitnesscenter mit Schwimmbad</w:t>
      </w:r>
      <w:r w:rsidR="00823255">
        <w:rPr>
          <w:rFonts w:ascii="Arial" w:hAnsi="Arial" w:cs="Arial"/>
        </w:rPr>
        <w:t>, das auch als Schulschwimmbad genutzt wird</w:t>
      </w:r>
      <w:r w:rsidR="007F6402" w:rsidRPr="00823255">
        <w:rPr>
          <w:rFonts w:ascii="Arial" w:hAnsi="Arial" w:cs="Arial"/>
        </w:rPr>
        <w:t xml:space="preserve">, Einzelhandel sowie </w:t>
      </w:r>
      <w:r w:rsidR="00823255">
        <w:rPr>
          <w:rFonts w:ascii="Arial" w:hAnsi="Arial" w:cs="Arial"/>
        </w:rPr>
        <w:t>eine Kindertagesstätte, außerdem</w:t>
      </w:r>
      <w:r w:rsidR="007F6402" w:rsidRPr="00823255">
        <w:rPr>
          <w:rFonts w:ascii="Arial" w:hAnsi="Arial" w:cs="Arial"/>
        </w:rPr>
        <w:t xml:space="preserve"> oberirdische Parkplätze und eine Tiefgarage mit ca. 373 Plätzen</w:t>
      </w:r>
      <w:r w:rsidR="00FB6732">
        <w:rPr>
          <w:rFonts w:ascii="Arial" w:hAnsi="Arial" w:cs="Arial"/>
        </w:rPr>
        <w:t xml:space="preserve">. Rund </w:t>
      </w:r>
      <w:r w:rsidR="007F6402" w:rsidRPr="00823255">
        <w:rPr>
          <w:rFonts w:ascii="Arial" w:hAnsi="Arial" w:cs="Arial"/>
        </w:rPr>
        <w:t xml:space="preserve">140 </w:t>
      </w:r>
      <w:r w:rsidR="00FB6732">
        <w:rPr>
          <w:rFonts w:ascii="Arial" w:hAnsi="Arial" w:cs="Arial"/>
        </w:rPr>
        <w:t xml:space="preserve">davon sollen </w:t>
      </w:r>
      <w:r w:rsidR="007F6402" w:rsidRPr="00823255">
        <w:rPr>
          <w:rFonts w:ascii="Arial" w:hAnsi="Arial" w:cs="Arial"/>
        </w:rPr>
        <w:t>für Elektro</w:t>
      </w:r>
      <w:r w:rsidR="00D14F86">
        <w:rPr>
          <w:rFonts w:ascii="Arial" w:hAnsi="Arial" w:cs="Arial"/>
        </w:rPr>
        <w:t>fahrzeuge</w:t>
      </w:r>
      <w:r w:rsidR="007F6402" w:rsidRPr="00823255">
        <w:rPr>
          <w:rFonts w:ascii="Arial" w:hAnsi="Arial" w:cs="Arial"/>
        </w:rPr>
        <w:t xml:space="preserve"> </w:t>
      </w:r>
      <w:r w:rsidR="007F6402" w:rsidRPr="00823255">
        <w:rPr>
          <w:rFonts w:ascii="Arial" w:hAnsi="Arial" w:cs="Arial"/>
        </w:rPr>
        <w:lastRenderedPageBreak/>
        <w:t>vorgesehen werden</w:t>
      </w:r>
      <w:r w:rsidR="00823255">
        <w:rPr>
          <w:rFonts w:ascii="Arial" w:hAnsi="Arial" w:cs="Arial"/>
        </w:rPr>
        <w:t xml:space="preserve">. </w:t>
      </w:r>
      <w:r w:rsidR="00823255" w:rsidRPr="00823255">
        <w:rPr>
          <w:rFonts w:ascii="Arial" w:hAnsi="Arial" w:cs="Arial"/>
        </w:rPr>
        <w:t xml:space="preserve">Bereits Ende 2017 </w:t>
      </w:r>
      <w:r w:rsidR="00F819AB">
        <w:rPr>
          <w:rFonts w:ascii="Arial" w:hAnsi="Arial" w:cs="Arial"/>
        </w:rPr>
        <w:t>hat die Consus</w:t>
      </w:r>
      <w:r w:rsidR="00823255" w:rsidRPr="00823255">
        <w:rPr>
          <w:rFonts w:ascii="Arial" w:hAnsi="Arial" w:cs="Arial"/>
        </w:rPr>
        <w:t xml:space="preserve"> </w:t>
      </w:r>
      <w:r w:rsidR="002C260F">
        <w:rPr>
          <w:rFonts w:ascii="Arial" w:hAnsi="Arial" w:cs="Arial"/>
        </w:rPr>
        <w:t xml:space="preserve">Real Estate AG </w:t>
      </w:r>
      <w:r w:rsidR="00823255" w:rsidRPr="00823255">
        <w:rPr>
          <w:rFonts w:ascii="Arial" w:hAnsi="Arial" w:cs="Arial"/>
        </w:rPr>
        <w:t xml:space="preserve">die beiden schon im Umbau befindlichen, charakteristischen Hochhäuser unter der Konzept-Marke VauVau an eine deutsche Versorgungskammer </w:t>
      </w:r>
      <w:r w:rsidR="00823255">
        <w:rPr>
          <w:rFonts w:ascii="Arial" w:hAnsi="Arial" w:cs="Arial"/>
        </w:rPr>
        <w:t>veräußert</w:t>
      </w:r>
      <w:r w:rsidR="00F819AB">
        <w:rPr>
          <w:rFonts w:ascii="Arial" w:hAnsi="Arial" w:cs="Arial"/>
        </w:rPr>
        <w:t xml:space="preserve">. Die Fertigstellung </w:t>
      </w:r>
      <w:r w:rsidR="002C260F">
        <w:rPr>
          <w:rFonts w:ascii="Arial" w:hAnsi="Arial" w:cs="Arial"/>
        </w:rPr>
        <w:t>aller inzwischen platzierten Bauabschnitte des Quartiers ist für 2022 geplant.</w:t>
      </w:r>
    </w:p>
    <w:p w:rsidR="002C260F" w:rsidRPr="00823255" w:rsidRDefault="002C260F" w:rsidP="005C3923">
      <w:pPr>
        <w:tabs>
          <w:tab w:val="num" w:pos="1440"/>
        </w:tabs>
        <w:spacing w:line="360" w:lineRule="auto"/>
        <w:ind w:right="1134"/>
        <w:jc w:val="both"/>
        <w:rPr>
          <w:rFonts w:ascii="Arial" w:hAnsi="Arial" w:cs="Arial"/>
        </w:rPr>
      </w:pPr>
    </w:p>
    <w:p w:rsidR="00445CD9" w:rsidRPr="005C3923" w:rsidRDefault="00445CD9" w:rsidP="005C3923">
      <w:pPr>
        <w:pStyle w:val="bodytext"/>
        <w:tabs>
          <w:tab w:val="left" w:pos="7560"/>
        </w:tabs>
        <w:spacing w:after="0" w:line="240" w:lineRule="auto"/>
        <w:ind w:right="1134"/>
        <w:jc w:val="both"/>
        <w:outlineLvl w:val="0"/>
        <w:rPr>
          <w:rFonts w:ascii="Arial" w:hAnsi="Arial" w:cs="Arial"/>
          <w:sz w:val="21"/>
          <w:szCs w:val="21"/>
        </w:rPr>
      </w:pPr>
      <w:r w:rsidRPr="005C3923">
        <w:rPr>
          <w:rFonts w:ascii="Arial" w:hAnsi="Arial" w:cs="Arial"/>
          <w:b/>
          <w:sz w:val="21"/>
          <w:szCs w:val="21"/>
        </w:rPr>
        <w:t>Unternehmensgruppe Nassauische Heimstätte | Wohnstadt</w:t>
      </w:r>
    </w:p>
    <w:p w:rsidR="00445CD9" w:rsidRPr="005C3923" w:rsidRDefault="00445CD9" w:rsidP="005C3923">
      <w:pPr>
        <w:ind w:right="1134"/>
        <w:jc w:val="both"/>
        <w:rPr>
          <w:rFonts w:ascii="Arial" w:hAnsi="Arial" w:cs="Arial"/>
          <w:sz w:val="21"/>
          <w:szCs w:val="21"/>
        </w:rPr>
      </w:pPr>
      <w:r w:rsidRPr="005C3923">
        <w:rPr>
          <w:rFonts w:ascii="Arial" w:hAnsi="Arial" w:cs="Arial"/>
          <w:sz w:val="21"/>
          <w:szCs w:val="21"/>
        </w:rPr>
        <w:t>Die Unternehmensgruppe Nassauische Heimstätte | Wohnstadt mit Sitz in Frankfurt</w:t>
      </w:r>
      <w:r w:rsidR="005C3923">
        <w:rPr>
          <w:rFonts w:ascii="Arial" w:hAnsi="Arial" w:cs="Arial"/>
          <w:sz w:val="21"/>
          <w:szCs w:val="21"/>
        </w:rPr>
        <w:t>/</w:t>
      </w:r>
      <w:r w:rsidRPr="005C3923">
        <w:rPr>
          <w:rFonts w:ascii="Arial" w:hAnsi="Arial" w:cs="Arial"/>
          <w:sz w:val="21"/>
          <w:szCs w:val="21"/>
        </w:rPr>
        <w:t xml:space="preserve">Main und Kassel bietet seit 95 Jahren Dienstleistungen in den Bereichen Wohnen, Bauen und Entwickeln. Sie beschäftigt rund 730 Mitarbeiter. Mit rund 60.000 Mietwohnungen in 140 Städten und Gemeinden gehört sie zu den führenden deutschen Wohnungsunternehmen. Das Regionalcenter Offenbach bewirtschaftet rund 9.500 Wohnungen. Unter der Marke „ProjektStadt“ werden Kompetenzfelder gebündelt, um nachhaltige Stadtentwicklungsaufgaben durchzuführen. Bis 2021 sind Investitionen von rund 1,5 Milliarden Euro in </w:t>
      </w:r>
      <w:r w:rsidR="005C3923">
        <w:rPr>
          <w:rFonts w:ascii="Arial" w:hAnsi="Arial" w:cs="Arial"/>
          <w:sz w:val="21"/>
          <w:szCs w:val="21"/>
        </w:rPr>
        <w:t xml:space="preserve">den </w:t>
      </w:r>
      <w:r w:rsidRPr="005C3923">
        <w:rPr>
          <w:rFonts w:ascii="Arial" w:hAnsi="Arial" w:cs="Arial"/>
          <w:sz w:val="21"/>
          <w:szCs w:val="21"/>
        </w:rPr>
        <w:t>Neubau von Wohnungen und den Bestand geplant. 4.900 zusätzliche Wohnungen sollen so in den nächsten fünf Jahren entstehen.</w:t>
      </w:r>
    </w:p>
    <w:p w:rsidR="009A25B6" w:rsidRPr="005C3923" w:rsidRDefault="009A25B6" w:rsidP="005C3923">
      <w:pPr>
        <w:ind w:right="1134"/>
        <w:jc w:val="both"/>
        <w:rPr>
          <w:rFonts w:ascii="Arial" w:hAnsi="Arial" w:cs="Arial"/>
          <w:sz w:val="21"/>
          <w:szCs w:val="21"/>
        </w:rPr>
      </w:pPr>
    </w:p>
    <w:p w:rsidR="009A25B6" w:rsidRPr="005C3923" w:rsidRDefault="009A25B6" w:rsidP="005C3923">
      <w:pPr>
        <w:pStyle w:val="berschrift1"/>
        <w:ind w:left="9" w:right="1134"/>
        <w:rPr>
          <w:rFonts w:cs="Arial"/>
          <w:sz w:val="21"/>
          <w:szCs w:val="21"/>
        </w:rPr>
      </w:pPr>
      <w:r w:rsidRPr="005C3923">
        <w:rPr>
          <w:rFonts w:cs="Arial"/>
          <w:sz w:val="21"/>
          <w:szCs w:val="21"/>
        </w:rPr>
        <w:t>Über Consus Real Estate AG</w:t>
      </w:r>
    </w:p>
    <w:p w:rsidR="009A25B6" w:rsidRPr="005C3923" w:rsidRDefault="009A25B6" w:rsidP="005C3923">
      <w:pPr>
        <w:ind w:right="1134"/>
        <w:jc w:val="both"/>
        <w:rPr>
          <w:rFonts w:ascii="Arial" w:hAnsi="Arial" w:cs="Arial"/>
          <w:sz w:val="21"/>
          <w:szCs w:val="21"/>
        </w:rPr>
      </w:pPr>
      <w:r w:rsidRPr="005C3923">
        <w:rPr>
          <w:rFonts w:ascii="Arial" w:hAnsi="Arial" w:cs="Arial"/>
          <w:sz w:val="21"/>
          <w:szCs w:val="21"/>
        </w:rPr>
        <w:t>Die Consus Real Estate AG ("Consus") mit Hauptsitz in Berlin ist mit einem Gesamtentwicklungsvolumen von derzeit knapp EUR 10 Mrd. ein führender deutscher Immobilienentwickler. Das Kerngeschäft des Konzerns besteht in der Entwicklung und Produktion von Geschoß-Mietwohnung</w:t>
      </w:r>
      <w:bookmarkStart w:id="0" w:name="_GoBack"/>
      <w:bookmarkEnd w:id="0"/>
      <w:r w:rsidRPr="005C3923">
        <w:rPr>
          <w:rFonts w:ascii="Arial" w:hAnsi="Arial" w:cs="Arial"/>
          <w:sz w:val="21"/>
          <w:szCs w:val="21"/>
        </w:rPr>
        <w:t>sbau in den neun wirtschaftlich stärksten Metropolen in Deutschland. Über die unternehmerisch eigenständig geführten Tochtergesellschaften CG Gruppe und SSN Group werden Stadt-Quartiere gestaltet und an institutionelle Investoren wie Versicherungen und Pensionsfonds platziert (Forward Sale). Mit hoher Innovationkraft, der Digitalisierung von Planungs- und Bauprozessen und der Vorbereitung einer industriellen Serienfertigung von Bauteilen agiert der Konzern entlang der gesamten Wertschöpfungskette der Immobilienentwicklung. Die Aktien der Consus Real Estate AG sind im Scale Segment der Deutschen Börse und dem m:access Segment des Freiverkehrs der Börse München notiert und werden u.a. über XETRA in Frankfurt gehandelt.</w:t>
      </w:r>
    </w:p>
    <w:p w:rsidR="009A25B6" w:rsidRDefault="009A25B6" w:rsidP="009A25B6">
      <w:pPr>
        <w:ind w:right="1134"/>
        <w:jc w:val="both"/>
        <w:rPr>
          <w:rFonts w:ascii="Arial" w:hAnsi="Arial" w:cs="Arial"/>
        </w:rPr>
      </w:pPr>
    </w:p>
    <w:p w:rsidR="009A25B6" w:rsidRPr="00EF5814" w:rsidRDefault="009A25B6" w:rsidP="009A25B6">
      <w:pPr>
        <w:pStyle w:val="berschrift1"/>
        <w:ind w:left="9"/>
        <w:rPr>
          <w:rFonts w:cs="Arial"/>
          <w:sz w:val="21"/>
          <w:szCs w:val="21"/>
          <w:lang w:val="en-GB"/>
        </w:rPr>
      </w:pPr>
      <w:r w:rsidRPr="00EF5814">
        <w:rPr>
          <w:rFonts w:cs="Arial"/>
          <w:sz w:val="21"/>
          <w:szCs w:val="21"/>
          <w:lang w:val="en-GB"/>
        </w:rPr>
        <w:t>Kontakt</w:t>
      </w:r>
    </w:p>
    <w:p w:rsidR="009A25B6" w:rsidRPr="00EF5814" w:rsidRDefault="009A25B6" w:rsidP="009A25B6">
      <w:pPr>
        <w:spacing w:line="259" w:lineRule="auto"/>
        <w:rPr>
          <w:rFonts w:ascii="Arial" w:hAnsi="Arial" w:cs="Arial"/>
          <w:sz w:val="21"/>
          <w:szCs w:val="21"/>
          <w:lang w:val="en-GB"/>
        </w:rPr>
      </w:pPr>
      <w:r w:rsidRPr="00EF5814">
        <w:rPr>
          <w:rFonts w:ascii="Arial" w:hAnsi="Arial" w:cs="Arial"/>
          <w:sz w:val="21"/>
          <w:szCs w:val="21"/>
          <w:lang w:val="en-GB"/>
        </w:rPr>
        <w:t>Consus Real Estate AG</w:t>
      </w:r>
    </w:p>
    <w:p w:rsidR="009A25B6" w:rsidRPr="00EF5814" w:rsidRDefault="009A25B6" w:rsidP="009A25B6">
      <w:pPr>
        <w:spacing w:line="259" w:lineRule="auto"/>
        <w:rPr>
          <w:rFonts w:ascii="Arial" w:hAnsi="Arial" w:cs="Arial"/>
          <w:sz w:val="21"/>
          <w:szCs w:val="21"/>
          <w:lang w:val="en-GB"/>
        </w:rPr>
      </w:pPr>
      <w:r w:rsidRPr="00EF5814">
        <w:rPr>
          <w:rFonts w:ascii="Arial" w:hAnsi="Arial" w:cs="Arial"/>
          <w:sz w:val="21"/>
          <w:szCs w:val="21"/>
          <w:lang w:val="en-GB"/>
        </w:rPr>
        <w:t>Jan-Philipp Ansorg</w:t>
      </w:r>
    </w:p>
    <w:p w:rsidR="009A25B6" w:rsidRPr="00EF5814" w:rsidRDefault="009A25B6" w:rsidP="009A25B6">
      <w:pPr>
        <w:spacing w:line="259" w:lineRule="auto"/>
        <w:rPr>
          <w:rFonts w:ascii="Arial" w:hAnsi="Arial" w:cs="Arial"/>
          <w:sz w:val="21"/>
          <w:szCs w:val="21"/>
          <w:lang w:val="en-GB"/>
        </w:rPr>
      </w:pPr>
      <w:r w:rsidRPr="00EF5814">
        <w:rPr>
          <w:rFonts w:ascii="Arial" w:hAnsi="Arial" w:cs="Arial"/>
          <w:sz w:val="21"/>
          <w:szCs w:val="21"/>
          <w:lang w:val="en-GB"/>
        </w:rPr>
        <w:t xml:space="preserve">Corporate Finance &amp; Investor Relations </w:t>
      </w:r>
    </w:p>
    <w:p w:rsidR="0003228E" w:rsidRPr="00EF5814" w:rsidRDefault="009A25B6" w:rsidP="009A25B6">
      <w:pPr>
        <w:spacing w:line="259" w:lineRule="auto"/>
        <w:rPr>
          <w:rFonts w:ascii="Arial" w:hAnsi="Arial" w:cs="Arial"/>
          <w:sz w:val="21"/>
          <w:szCs w:val="21"/>
          <w:lang w:val="en-GB"/>
        </w:rPr>
      </w:pPr>
      <w:r w:rsidRPr="00EF5814">
        <w:rPr>
          <w:rFonts w:ascii="Arial" w:hAnsi="Arial" w:cs="Arial"/>
          <w:sz w:val="21"/>
          <w:szCs w:val="21"/>
          <w:lang w:val="en-GB"/>
        </w:rPr>
        <w:t>j.-p.ansorg@consus.ag</w:t>
      </w:r>
    </w:p>
    <w:sectPr w:rsidR="0003228E" w:rsidRPr="00EF581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9A25B6" w:rsidP="009A25B6">
    <w:pPr>
      <w:pStyle w:val="Kopfzeile"/>
      <w:tabs>
        <w:tab w:val="clear" w:pos="4536"/>
        <w:tab w:val="clear" w:pos="9072"/>
        <w:tab w:val="right" w:pos="9498"/>
      </w:tabs>
      <w:ind w:right="-426"/>
      <w:rPr>
        <w:rFonts w:ascii="Arial" w:hAnsi="Arial" w:cs="Arial"/>
        <w:b/>
        <w:bCs/>
        <w:spacing w:val="60"/>
        <w:sz w:val="28"/>
        <w:szCs w:val="28"/>
      </w:rPr>
    </w:pPr>
    <w:r>
      <w:rPr>
        <w:noProof/>
      </w:rPr>
      <w:drawing>
        <wp:inline distT="0" distB="0" distL="0" distR="0" wp14:anchorId="2CA9DF98" wp14:editId="0BF38843">
          <wp:extent cx="1935480" cy="59436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35480" cy="594360"/>
                  </a:xfrm>
                  <a:prstGeom prst="rect">
                    <a:avLst/>
                  </a:prstGeom>
                </pic:spPr>
              </pic:pic>
            </a:graphicData>
          </a:graphic>
        </wp:inline>
      </w:drawing>
    </w:r>
    <w:r>
      <w:rPr>
        <w:rFonts w:ascii="Arial" w:hAnsi="Arial" w:cs="Arial"/>
        <w:b/>
        <w:bCs/>
        <w:spacing w:val="60"/>
        <w:sz w:val="28"/>
        <w:szCs w:val="28"/>
      </w:rPr>
      <w:tab/>
    </w:r>
    <w:r w:rsidR="00F517DB">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8A0D31">
      <w:rPr>
        <w:rFonts w:ascii="Arial" w:hAnsi="Arial" w:cs="Arial"/>
      </w:rPr>
      <w:t>22</w:t>
    </w:r>
    <w:r w:rsidR="00A267CC">
      <w:rPr>
        <w:rFonts w:ascii="Arial" w:hAnsi="Arial" w:cs="Arial"/>
      </w:rPr>
      <w:t>.</w:t>
    </w:r>
    <w:r w:rsidR="008A0D31">
      <w:rPr>
        <w:rFonts w:ascii="Arial" w:hAnsi="Arial" w:cs="Arial"/>
      </w:rPr>
      <w:t>01</w:t>
    </w:r>
    <w:r w:rsidR="00581240">
      <w:rPr>
        <w:rFonts w:ascii="Arial" w:hAnsi="Arial" w:cs="Arial"/>
      </w:rPr>
      <w:t>.</w:t>
    </w:r>
    <w:r w:rsidR="008A0D31">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EF5814">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EF5814">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4E389F">
      <w:rPr>
        <w:rFonts w:ascii="Arial" w:hAnsi="Arial" w:cs="Arial"/>
      </w:rPr>
      <w:t>3</w:t>
    </w:r>
    <w:r w:rsidR="000E0013">
      <w:rPr>
        <w:rFonts w:ascii="Arial" w:hAnsi="Arial" w:cs="Arial"/>
      </w:rPr>
      <w:t>.</w:t>
    </w:r>
    <w:r w:rsidR="005C3923">
      <w:rPr>
        <w:rFonts w:ascii="Arial" w:hAnsi="Arial" w:cs="Arial"/>
      </w:rPr>
      <w:t>399</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E63C7"/>
    <w:multiLevelType w:val="hybridMultilevel"/>
    <w:tmpl w:val="06F8A886"/>
    <w:lvl w:ilvl="0" w:tplc="96BE5B86">
      <w:start w:val="1"/>
      <w:numFmt w:val="bullet"/>
      <w:lvlText w:val="•"/>
      <w:lvlJc w:val="left"/>
      <w:pPr>
        <w:tabs>
          <w:tab w:val="num" w:pos="720"/>
        </w:tabs>
        <w:ind w:left="720" w:hanging="360"/>
      </w:pPr>
      <w:rPr>
        <w:rFonts w:ascii="Arial" w:hAnsi="Arial" w:hint="default"/>
      </w:rPr>
    </w:lvl>
    <w:lvl w:ilvl="1" w:tplc="77602B1E">
      <w:start w:val="1"/>
      <w:numFmt w:val="bullet"/>
      <w:lvlText w:val="•"/>
      <w:lvlJc w:val="left"/>
      <w:pPr>
        <w:tabs>
          <w:tab w:val="num" w:pos="1440"/>
        </w:tabs>
        <w:ind w:left="1440" w:hanging="360"/>
      </w:pPr>
      <w:rPr>
        <w:rFonts w:ascii="Arial" w:hAnsi="Arial" w:hint="default"/>
      </w:rPr>
    </w:lvl>
    <w:lvl w:ilvl="2" w:tplc="80AAA17E" w:tentative="1">
      <w:start w:val="1"/>
      <w:numFmt w:val="bullet"/>
      <w:lvlText w:val="•"/>
      <w:lvlJc w:val="left"/>
      <w:pPr>
        <w:tabs>
          <w:tab w:val="num" w:pos="2160"/>
        </w:tabs>
        <w:ind w:left="2160" w:hanging="360"/>
      </w:pPr>
      <w:rPr>
        <w:rFonts w:ascii="Arial" w:hAnsi="Arial" w:hint="default"/>
      </w:rPr>
    </w:lvl>
    <w:lvl w:ilvl="3" w:tplc="F7F04116" w:tentative="1">
      <w:start w:val="1"/>
      <w:numFmt w:val="bullet"/>
      <w:lvlText w:val="•"/>
      <w:lvlJc w:val="left"/>
      <w:pPr>
        <w:tabs>
          <w:tab w:val="num" w:pos="2880"/>
        </w:tabs>
        <w:ind w:left="2880" w:hanging="360"/>
      </w:pPr>
      <w:rPr>
        <w:rFonts w:ascii="Arial" w:hAnsi="Arial" w:hint="default"/>
      </w:rPr>
    </w:lvl>
    <w:lvl w:ilvl="4" w:tplc="450A247C" w:tentative="1">
      <w:start w:val="1"/>
      <w:numFmt w:val="bullet"/>
      <w:lvlText w:val="•"/>
      <w:lvlJc w:val="left"/>
      <w:pPr>
        <w:tabs>
          <w:tab w:val="num" w:pos="3600"/>
        </w:tabs>
        <w:ind w:left="3600" w:hanging="360"/>
      </w:pPr>
      <w:rPr>
        <w:rFonts w:ascii="Arial" w:hAnsi="Arial" w:hint="default"/>
      </w:rPr>
    </w:lvl>
    <w:lvl w:ilvl="5" w:tplc="F9945B3E" w:tentative="1">
      <w:start w:val="1"/>
      <w:numFmt w:val="bullet"/>
      <w:lvlText w:val="•"/>
      <w:lvlJc w:val="left"/>
      <w:pPr>
        <w:tabs>
          <w:tab w:val="num" w:pos="4320"/>
        </w:tabs>
        <w:ind w:left="4320" w:hanging="360"/>
      </w:pPr>
      <w:rPr>
        <w:rFonts w:ascii="Arial" w:hAnsi="Arial" w:hint="default"/>
      </w:rPr>
    </w:lvl>
    <w:lvl w:ilvl="6" w:tplc="AD60B7B0" w:tentative="1">
      <w:start w:val="1"/>
      <w:numFmt w:val="bullet"/>
      <w:lvlText w:val="•"/>
      <w:lvlJc w:val="left"/>
      <w:pPr>
        <w:tabs>
          <w:tab w:val="num" w:pos="5040"/>
        </w:tabs>
        <w:ind w:left="5040" w:hanging="360"/>
      </w:pPr>
      <w:rPr>
        <w:rFonts w:ascii="Arial" w:hAnsi="Arial" w:hint="default"/>
      </w:rPr>
    </w:lvl>
    <w:lvl w:ilvl="7" w:tplc="5A421B70" w:tentative="1">
      <w:start w:val="1"/>
      <w:numFmt w:val="bullet"/>
      <w:lvlText w:val="•"/>
      <w:lvlJc w:val="left"/>
      <w:pPr>
        <w:tabs>
          <w:tab w:val="num" w:pos="5760"/>
        </w:tabs>
        <w:ind w:left="5760" w:hanging="360"/>
      </w:pPr>
      <w:rPr>
        <w:rFonts w:ascii="Arial" w:hAnsi="Arial" w:hint="default"/>
      </w:rPr>
    </w:lvl>
    <w:lvl w:ilvl="8" w:tplc="1E4CCDA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1099"/>
    <w:rsid w:val="000236AB"/>
    <w:rsid w:val="00027E0D"/>
    <w:rsid w:val="0003228E"/>
    <w:rsid w:val="00044D6B"/>
    <w:rsid w:val="00056D0A"/>
    <w:rsid w:val="000E0013"/>
    <w:rsid w:val="000E40C2"/>
    <w:rsid w:val="00104E45"/>
    <w:rsid w:val="00124D4F"/>
    <w:rsid w:val="00192513"/>
    <w:rsid w:val="001D38AD"/>
    <w:rsid w:val="002047C2"/>
    <w:rsid w:val="00213FBA"/>
    <w:rsid w:val="00233BA3"/>
    <w:rsid w:val="002557D2"/>
    <w:rsid w:val="0025780E"/>
    <w:rsid w:val="002C260F"/>
    <w:rsid w:val="002C3AA4"/>
    <w:rsid w:val="002C5FFE"/>
    <w:rsid w:val="002C7DE8"/>
    <w:rsid w:val="002D0C45"/>
    <w:rsid w:val="002E1DB4"/>
    <w:rsid w:val="002F2B4B"/>
    <w:rsid w:val="002F52BB"/>
    <w:rsid w:val="00301DF4"/>
    <w:rsid w:val="00310ACE"/>
    <w:rsid w:val="00331246"/>
    <w:rsid w:val="00332EFF"/>
    <w:rsid w:val="00334447"/>
    <w:rsid w:val="00343698"/>
    <w:rsid w:val="00352D5E"/>
    <w:rsid w:val="003544FC"/>
    <w:rsid w:val="00361149"/>
    <w:rsid w:val="003A1A16"/>
    <w:rsid w:val="003A61BA"/>
    <w:rsid w:val="003B1043"/>
    <w:rsid w:val="003B798F"/>
    <w:rsid w:val="00404D5B"/>
    <w:rsid w:val="00414471"/>
    <w:rsid w:val="00445CD9"/>
    <w:rsid w:val="00492C13"/>
    <w:rsid w:val="004B520B"/>
    <w:rsid w:val="004C6DC0"/>
    <w:rsid w:val="004E389F"/>
    <w:rsid w:val="00524928"/>
    <w:rsid w:val="005373E1"/>
    <w:rsid w:val="005641C6"/>
    <w:rsid w:val="005739B2"/>
    <w:rsid w:val="00581240"/>
    <w:rsid w:val="005826CB"/>
    <w:rsid w:val="00597C72"/>
    <w:rsid w:val="005A07D0"/>
    <w:rsid w:val="005C0E29"/>
    <w:rsid w:val="005C3923"/>
    <w:rsid w:val="00632CBA"/>
    <w:rsid w:val="00650359"/>
    <w:rsid w:val="00653B49"/>
    <w:rsid w:val="00661874"/>
    <w:rsid w:val="00667125"/>
    <w:rsid w:val="006717C7"/>
    <w:rsid w:val="006D6798"/>
    <w:rsid w:val="006F209C"/>
    <w:rsid w:val="00760202"/>
    <w:rsid w:val="00777B7C"/>
    <w:rsid w:val="00784FFC"/>
    <w:rsid w:val="00793C2B"/>
    <w:rsid w:val="007B1096"/>
    <w:rsid w:val="007B2EB5"/>
    <w:rsid w:val="007F1052"/>
    <w:rsid w:val="007F133C"/>
    <w:rsid w:val="007F6402"/>
    <w:rsid w:val="00823255"/>
    <w:rsid w:val="008237B3"/>
    <w:rsid w:val="00851A40"/>
    <w:rsid w:val="0088476C"/>
    <w:rsid w:val="008A0D31"/>
    <w:rsid w:val="008B1CF0"/>
    <w:rsid w:val="008C42ED"/>
    <w:rsid w:val="008D3315"/>
    <w:rsid w:val="008D3655"/>
    <w:rsid w:val="008E3DCC"/>
    <w:rsid w:val="008E6206"/>
    <w:rsid w:val="008F0CBC"/>
    <w:rsid w:val="00920B7B"/>
    <w:rsid w:val="009300F2"/>
    <w:rsid w:val="00930DCE"/>
    <w:rsid w:val="0093115A"/>
    <w:rsid w:val="009711EB"/>
    <w:rsid w:val="009A0B57"/>
    <w:rsid w:val="009A25B6"/>
    <w:rsid w:val="009A4690"/>
    <w:rsid w:val="009C0AEF"/>
    <w:rsid w:val="00A178C8"/>
    <w:rsid w:val="00A267CC"/>
    <w:rsid w:val="00A34ECA"/>
    <w:rsid w:val="00A405B6"/>
    <w:rsid w:val="00A638E8"/>
    <w:rsid w:val="00AB383D"/>
    <w:rsid w:val="00AE1F73"/>
    <w:rsid w:val="00AE6323"/>
    <w:rsid w:val="00AE7955"/>
    <w:rsid w:val="00AF45B2"/>
    <w:rsid w:val="00B967B1"/>
    <w:rsid w:val="00B97FFC"/>
    <w:rsid w:val="00BA2475"/>
    <w:rsid w:val="00BA33B8"/>
    <w:rsid w:val="00C7283B"/>
    <w:rsid w:val="00C747F9"/>
    <w:rsid w:val="00C83C2F"/>
    <w:rsid w:val="00C93B06"/>
    <w:rsid w:val="00CA6DEC"/>
    <w:rsid w:val="00CB3C57"/>
    <w:rsid w:val="00CC7B1F"/>
    <w:rsid w:val="00CE124C"/>
    <w:rsid w:val="00D14F86"/>
    <w:rsid w:val="00D4443D"/>
    <w:rsid w:val="00D55DDE"/>
    <w:rsid w:val="00D647CE"/>
    <w:rsid w:val="00D814A6"/>
    <w:rsid w:val="00DE37EF"/>
    <w:rsid w:val="00DE7A3F"/>
    <w:rsid w:val="00DF7285"/>
    <w:rsid w:val="00E4073E"/>
    <w:rsid w:val="00E8679E"/>
    <w:rsid w:val="00EB325B"/>
    <w:rsid w:val="00EC55F5"/>
    <w:rsid w:val="00EE34AE"/>
    <w:rsid w:val="00EF5814"/>
    <w:rsid w:val="00F1109D"/>
    <w:rsid w:val="00F20BAF"/>
    <w:rsid w:val="00F27E3F"/>
    <w:rsid w:val="00F31E73"/>
    <w:rsid w:val="00F473C6"/>
    <w:rsid w:val="00F517DB"/>
    <w:rsid w:val="00F55005"/>
    <w:rsid w:val="00F64FE7"/>
    <w:rsid w:val="00F652BF"/>
    <w:rsid w:val="00F819AB"/>
    <w:rsid w:val="00F86CA5"/>
    <w:rsid w:val="00F97DA7"/>
    <w:rsid w:val="00FB6732"/>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04765361">
      <w:bodyDiv w:val="1"/>
      <w:marLeft w:val="0"/>
      <w:marRight w:val="0"/>
      <w:marTop w:val="0"/>
      <w:marBottom w:val="0"/>
      <w:divBdr>
        <w:top w:val="none" w:sz="0" w:space="0" w:color="auto"/>
        <w:left w:val="none" w:sz="0" w:space="0" w:color="auto"/>
        <w:bottom w:val="none" w:sz="0" w:space="0" w:color="auto"/>
        <w:right w:val="none" w:sz="0" w:space="0" w:color="auto"/>
      </w:divBdr>
    </w:div>
    <w:div w:id="1741438143">
      <w:bodyDiv w:val="1"/>
      <w:marLeft w:val="0"/>
      <w:marRight w:val="0"/>
      <w:marTop w:val="0"/>
      <w:marBottom w:val="0"/>
      <w:divBdr>
        <w:top w:val="none" w:sz="0" w:space="0" w:color="auto"/>
        <w:left w:val="none" w:sz="0" w:space="0" w:color="auto"/>
        <w:bottom w:val="none" w:sz="0" w:space="0" w:color="auto"/>
        <w:right w:val="none" w:sz="0" w:space="0" w:color="auto"/>
      </w:divBdr>
      <w:divsChild>
        <w:div w:id="722797160">
          <w:marLeft w:val="720"/>
          <w:marRight w:val="0"/>
          <w:marTop w:val="0"/>
          <w:marBottom w:val="0"/>
          <w:divBdr>
            <w:top w:val="none" w:sz="0" w:space="0" w:color="auto"/>
            <w:left w:val="none" w:sz="0" w:space="0" w:color="auto"/>
            <w:bottom w:val="none" w:sz="0" w:space="0" w:color="auto"/>
            <w:right w:val="none" w:sz="0" w:space="0" w:color="auto"/>
          </w:divBdr>
        </w:div>
        <w:div w:id="167213014">
          <w:marLeft w:val="720"/>
          <w:marRight w:val="0"/>
          <w:marTop w:val="0"/>
          <w:marBottom w:val="0"/>
          <w:divBdr>
            <w:top w:val="none" w:sz="0" w:space="0" w:color="auto"/>
            <w:left w:val="none" w:sz="0" w:space="0" w:color="auto"/>
            <w:bottom w:val="none" w:sz="0" w:space="0" w:color="auto"/>
            <w:right w:val="none" w:sz="0" w:space="0" w:color="auto"/>
          </w:divBdr>
        </w:div>
        <w:div w:id="318846766">
          <w:marLeft w:val="72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61612-94E7-45D8-B58E-51EC98EB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5307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29</cp:revision>
  <cp:lastPrinted>2006-02-20T13:39:00Z</cp:lastPrinted>
  <dcterms:created xsi:type="dcterms:W3CDTF">2019-01-15T14:31:00Z</dcterms:created>
  <dcterms:modified xsi:type="dcterms:W3CDTF">2019-01-22T08:19:00Z</dcterms:modified>
</cp:coreProperties>
</file>